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4D876" w14:textId="32B98221" w:rsidR="00F41EDB" w:rsidRPr="009C65E5" w:rsidRDefault="008B3B14">
      <w:pPr>
        <w:pStyle w:val="Heading1"/>
        <w:jc w:val="center"/>
        <w:rPr>
          <w:rFonts w:ascii="Georgia" w:hAnsi="Georgia"/>
          <w:i/>
          <w:sz w:val="28"/>
          <w:szCs w:val="28"/>
        </w:rPr>
      </w:pPr>
      <w:bookmarkStart w:id="0" w:name="_GoBack"/>
      <w:bookmarkEnd w:id="0"/>
      <w:r>
        <w:rPr>
          <w:rFonts w:ascii="Georgia" w:hAnsi="Georgia"/>
          <w:i/>
          <w:sz w:val="28"/>
          <w:szCs w:val="28"/>
        </w:rPr>
        <w:t>Sample Special Event</w:t>
      </w:r>
      <w:r w:rsidR="00BA1A7A">
        <w:rPr>
          <w:rFonts w:ascii="Georgia" w:hAnsi="Georgia"/>
          <w:i/>
          <w:sz w:val="28"/>
          <w:szCs w:val="28"/>
        </w:rPr>
        <w:t>s</w:t>
      </w:r>
      <w:r w:rsidR="00F41EDB" w:rsidRPr="009C65E5">
        <w:rPr>
          <w:rFonts w:ascii="Georgia" w:hAnsi="Georgia"/>
          <w:i/>
          <w:sz w:val="28"/>
          <w:szCs w:val="28"/>
        </w:rPr>
        <w:t xml:space="preserve"> Timeline</w:t>
      </w:r>
      <w:r>
        <w:rPr>
          <w:rFonts w:ascii="Georgia" w:hAnsi="Georgia"/>
          <w:i/>
          <w:sz w:val="28"/>
          <w:szCs w:val="28"/>
        </w:rPr>
        <w:br/>
        <w:t>Tribute Dinner or Luncheon</w:t>
      </w:r>
    </w:p>
    <w:p w14:paraId="7110E3C8" w14:textId="77777777" w:rsidR="00F41EDB" w:rsidRDefault="00F41EDB">
      <w:pPr>
        <w:rPr>
          <w:b/>
          <w:bCs/>
        </w:rPr>
      </w:pPr>
    </w:p>
    <w:p w14:paraId="2FFF6359" w14:textId="77777777" w:rsidR="00F41EDB" w:rsidRDefault="00F41EDB">
      <w:r>
        <w:t xml:space="preserve">In creating an event schedule, </w:t>
      </w:r>
      <w:r w:rsidR="00A10D01">
        <w:t>use the following guidelines to keep your plans on track</w:t>
      </w:r>
      <w:r>
        <w:t>:</w:t>
      </w:r>
    </w:p>
    <w:p w14:paraId="73931230" w14:textId="77777777" w:rsidR="00F41EDB" w:rsidRDefault="00F41EDB"/>
    <w:p w14:paraId="6C2DB8DD" w14:textId="77777777" w:rsidR="00603D17" w:rsidRDefault="00491662" w:rsidP="00A10D01">
      <w:pPr>
        <w:numPr>
          <w:ilvl w:val="0"/>
          <w:numId w:val="3"/>
        </w:numPr>
        <w:tabs>
          <w:tab w:val="clear" w:pos="360"/>
        </w:tabs>
        <w:ind w:left="720"/>
      </w:pPr>
      <w:r>
        <w:t>The planning work</w:t>
      </w:r>
      <w:r w:rsidR="00603D17">
        <w:t xml:space="preserve"> you do to select a venue and date (that doesn’t conflict with other, similar events), identify honorees and committee chairs, </w:t>
      </w:r>
      <w:r>
        <w:t>hire a</w:t>
      </w:r>
      <w:r w:rsidR="00325E0C">
        <w:t xml:space="preserve"> caterer, </w:t>
      </w:r>
      <w:r w:rsidR="00603D17">
        <w:t xml:space="preserve">and secure entertainment or speakers is essential to your ultimate success. Don’t rush or skip over these preliminary arrangements. We recommend beginning them </w:t>
      </w:r>
      <w:r w:rsidR="00603D17" w:rsidRPr="00491662">
        <w:rPr>
          <w:b/>
        </w:rPr>
        <w:t>at least six months prior to the event date</w:t>
      </w:r>
      <w:r w:rsidR="00603D17">
        <w:t>.</w:t>
      </w:r>
    </w:p>
    <w:p w14:paraId="3119F930" w14:textId="77777777" w:rsidR="00325E0C" w:rsidRDefault="00325E0C" w:rsidP="00A10D01">
      <w:pPr>
        <w:numPr>
          <w:ilvl w:val="0"/>
          <w:numId w:val="3"/>
        </w:numPr>
        <w:tabs>
          <w:tab w:val="clear" w:pos="360"/>
        </w:tabs>
        <w:ind w:left="720"/>
      </w:pPr>
      <w:r>
        <w:t>Determine the benefits and acknowledgement your major donors and event sponsors will receive. (They might be invited to a pre-re</w:t>
      </w:r>
      <w:r w:rsidR="004E2DBF">
        <w:t>ception with your special guest or</w:t>
      </w:r>
      <w:r>
        <w:t xml:space="preserve"> r</w:t>
      </w:r>
      <w:r w:rsidR="00491662">
        <w:t xml:space="preserve">eceive some free tickets and </w:t>
      </w:r>
      <w:r>
        <w:t>print</w:t>
      </w:r>
      <w:r w:rsidR="00491662">
        <w:t>ed</w:t>
      </w:r>
      <w:r>
        <w:t xml:space="preserve"> or online recognition for their gifts.</w:t>
      </w:r>
      <w:r w:rsidR="00491662">
        <w:t xml:space="preserve"> If they underwrite your event, you’ll want to feature them prominently.</w:t>
      </w:r>
      <w:r>
        <w:t>)</w:t>
      </w:r>
    </w:p>
    <w:p w14:paraId="4C796680" w14:textId="38AA9286" w:rsidR="00491662" w:rsidRDefault="00491662" w:rsidP="00A10D01">
      <w:pPr>
        <w:numPr>
          <w:ilvl w:val="0"/>
          <w:numId w:val="3"/>
        </w:numPr>
        <w:tabs>
          <w:tab w:val="clear" w:pos="360"/>
        </w:tabs>
        <w:ind w:left="720"/>
      </w:pPr>
      <w:r w:rsidRPr="00491662">
        <w:rPr>
          <w:b/>
        </w:rPr>
        <w:t>Five to six months prior to your event</w:t>
      </w:r>
      <w:r w:rsidRPr="004E2DBF">
        <w:rPr>
          <w:b/>
        </w:rPr>
        <w:t>,</w:t>
      </w:r>
      <w:r>
        <w:t xml:space="preserve"> it’s t</w:t>
      </w:r>
      <w:r w:rsidR="00BD4455">
        <w:t>ime to organize your mail and e</w:t>
      </w:r>
      <w:r>
        <w:t xml:space="preserve">mail lists. Ask your board members to review the lists and add names of their friends and acquaintances. </w:t>
      </w:r>
    </w:p>
    <w:p w14:paraId="685E21F3" w14:textId="77777777" w:rsidR="00325E0C" w:rsidRDefault="00603D17" w:rsidP="00A10D01">
      <w:pPr>
        <w:numPr>
          <w:ilvl w:val="0"/>
          <w:numId w:val="3"/>
        </w:numPr>
        <w:tabs>
          <w:tab w:val="clear" w:pos="360"/>
        </w:tabs>
        <w:ind w:left="720"/>
      </w:pPr>
      <w:r w:rsidRPr="00491662">
        <w:rPr>
          <w:b/>
        </w:rPr>
        <w:t>Four to five months prior to your event</w:t>
      </w:r>
      <w:r w:rsidR="004E2DBF" w:rsidRPr="004E2DBF">
        <w:rPr>
          <w:b/>
        </w:rPr>
        <w:t>,</w:t>
      </w:r>
      <w:r>
        <w:t xml:space="preserve"> begin building anticipation with a “Save the Date” postcard and information on your website.</w:t>
      </w:r>
      <w:r w:rsidR="005170A7">
        <w:t xml:space="preserve"> At t</w:t>
      </w:r>
      <w:r w:rsidR="00491662">
        <w:t>his stage</w:t>
      </w:r>
      <w:r w:rsidR="004E2DBF">
        <w:t>,</w:t>
      </w:r>
      <w:r w:rsidR="00491662">
        <w:t xml:space="preserve"> you also</w:t>
      </w:r>
      <w:r w:rsidR="005170A7">
        <w:t xml:space="preserve"> develop a </w:t>
      </w:r>
      <w:r w:rsidR="00BF70C2">
        <w:t xml:space="preserve">look and </w:t>
      </w:r>
      <w:r w:rsidR="005170A7">
        <w:t>design for the event that you will carry throu</w:t>
      </w:r>
      <w:r w:rsidR="00491662">
        <w:t xml:space="preserve">gh the invitation, program, </w:t>
      </w:r>
      <w:r w:rsidR="004E2DBF">
        <w:t xml:space="preserve">and </w:t>
      </w:r>
      <w:r w:rsidR="005170A7">
        <w:t>webpage.</w:t>
      </w:r>
    </w:p>
    <w:p w14:paraId="7E49653A" w14:textId="77777777" w:rsidR="00603D17" w:rsidRDefault="00603D17" w:rsidP="00A10D01">
      <w:pPr>
        <w:numPr>
          <w:ilvl w:val="0"/>
          <w:numId w:val="3"/>
        </w:numPr>
        <w:tabs>
          <w:tab w:val="clear" w:pos="360"/>
        </w:tabs>
        <w:ind w:left="720"/>
      </w:pPr>
      <w:r w:rsidRPr="00491662">
        <w:rPr>
          <w:b/>
        </w:rPr>
        <w:t>Three months before your event</w:t>
      </w:r>
      <w:r w:rsidR="004E2DBF" w:rsidRPr="004E2DBF">
        <w:rPr>
          <w:b/>
        </w:rPr>
        <w:t>,</w:t>
      </w:r>
      <w:r>
        <w:t xml:space="preserve"> begin recruiting your event committee and corporate or individual sponsors.</w:t>
      </w:r>
      <w:r w:rsidR="00491662">
        <w:t xml:space="preserve"> The</w:t>
      </w:r>
      <w:r w:rsidR="009F56F0">
        <w:t>se committee members will begin inviting their friends to attend at least a month before the event takes place.</w:t>
      </w:r>
      <w:r w:rsidR="00491662">
        <w:t xml:space="preserve"> This is a good time to be</w:t>
      </w:r>
      <w:r w:rsidR="00D746DF">
        <w:t>gin</w:t>
      </w:r>
      <w:r w:rsidR="00491662">
        <w:t xml:space="preserve"> contacting magazines, local television, </w:t>
      </w:r>
      <w:r w:rsidR="00D746DF">
        <w:t xml:space="preserve">radio, </w:t>
      </w:r>
      <w:r w:rsidR="00491662">
        <w:t xml:space="preserve">and newspapers with announcements about your guest speaker or honorees. </w:t>
      </w:r>
      <w:r w:rsidR="00D746DF">
        <w:t>Arrange travel for special guests and honorees if needed.</w:t>
      </w:r>
      <w:r w:rsidR="00B9721F" w:rsidRPr="00B9721F">
        <w:t xml:space="preserve"> </w:t>
      </w:r>
      <w:r w:rsidR="00B9721F">
        <w:t xml:space="preserve">You </w:t>
      </w:r>
      <w:r w:rsidR="00BF70C2">
        <w:t xml:space="preserve">may </w:t>
      </w:r>
      <w:r w:rsidR="00B9721F">
        <w:t xml:space="preserve">want to sign up with an electronic invitation and RSVP service such as EventBrite to collect and acknowledge responses from ticket buyers. (To guide you in choosing the event software, read “A Few Good Tools for Event Registration” at </w:t>
      </w:r>
      <w:hyperlink r:id="rId6" w:history="1">
        <w:r w:rsidR="004E2DBF" w:rsidRPr="00C04A6B">
          <w:rPr>
            <w:rStyle w:val="Hyperlink"/>
          </w:rPr>
          <w:t>www.idealware.org</w:t>
        </w:r>
      </w:hyperlink>
      <w:r w:rsidR="00B9721F">
        <w:t>.)</w:t>
      </w:r>
    </w:p>
    <w:p w14:paraId="60BD6F3C" w14:textId="77777777" w:rsidR="00603D17" w:rsidRDefault="00603D17" w:rsidP="00A10D01">
      <w:pPr>
        <w:numPr>
          <w:ilvl w:val="0"/>
          <w:numId w:val="3"/>
        </w:numPr>
        <w:tabs>
          <w:tab w:val="clear" w:pos="360"/>
        </w:tabs>
        <w:ind w:left="720"/>
      </w:pPr>
      <w:r w:rsidRPr="00491662">
        <w:rPr>
          <w:b/>
        </w:rPr>
        <w:t xml:space="preserve">Two months before your </w:t>
      </w:r>
      <w:r w:rsidR="005170A7" w:rsidRPr="00491662">
        <w:rPr>
          <w:b/>
        </w:rPr>
        <w:t>event</w:t>
      </w:r>
      <w:r w:rsidR="004E2DBF" w:rsidRPr="004E2DBF">
        <w:rPr>
          <w:b/>
        </w:rPr>
        <w:t>,</w:t>
      </w:r>
      <w:r w:rsidR="005170A7">
        <w:t xml:space="preserve"> write the copy and complete the design for your invitation (both print and electronic). </w:t>
      </w:r>
      <w:r w:rsidR="009F56F0">
        <w:t>You also want to follo</w:t>
      </w:r>
      <w:r w:rsidR="00D746DF">
        <w:t xml:space="preserve">w up with sponsors and contact wineries, florists, and other merchants to see if they </w:t>
      </w:r>
      <w:r w:rsidR="004E2DBF">
        <w:t>are</w:t>
      </w:r>
      <w:r w:rsidR="00D746DF">
        <w:t xml:space="preserve"> willing to contribute to your meals and décor.</w:t>
      </w:r>
    </w:p>
    <w:p w14:paraId="5E6132BA" w14:textId="3144AD75" w:rsidR="00325E0C" w:rsidRDefault="00325E0C" w:rsidP="00A10D01">
      <w:pPr>
        <w:numPr>
          <w:ilvl w:val="0"/>
          <w:numId w:val="3"/>
        </w:numPr>
        <w:tabs>
          <w:tab w:val="clear" w:pos="360"/>
        </w:tabs>
        <w:ind w:left="720"/>
      </w:pPr>
      <w:r w:rsidRPr="00491662">
        <w:rPr>
          <w:b/>
        </w:rPr>
        <w:t>Two months before the event</w:t>
      </w:r>
      <w:r w:rsidR="004E2DBF" w:rsidRPr="004E2DBF">
        <w:rPr>
          <w:b/>
        </w:rPr>
        <w:t>,</w:t>
      </w:r>
      <w:r w:rsidR="00BD4455">
        <w:t xml:space="preserve"> begin sending biweekly e</w:t>
      </w:r>
      <w:r>
        <w:t>mail newsletters with event development news.</w:t>
      </w:r>
      <w:r w:rsidR="00491662">
        <w:t xml:space="preserve"> It’s time to recruit volunteers to help with the mailing, arrangements, and hospitality. </w:t>
      </w:r>
      <w:r w:rsidR="004E2DBF">
        <w:t>Also find</w:t>
      </w:r>
      <w:r w:rsidR="00491662">
        <w:t xml:space="preserve"> volunteers to help with cleaning up and packing up when the event has ended.</w:t>
      </w:r>
    </w:p>
    <w:p w14:paraId="51E3F2EB" w14:textId="32BF3474" w:rsidR="009F56F0" w:rsidRDefault="009F56F0" w:rsidP="00A10D01">
      <w:pPr>
        <w:numPr>
          <w:ilvl w:val="0"/>
          <w:numId w:val="3"/>
        </w:numPr>
        <w:tabs>
          <w:tab w:val="clear" w:pos="360"/>
        </w:tabs>
        <w:ind w:left="720"/>
      </w:pPr>
      <w:r>
        <w:t xml:space="preserve">At least </w:t>
      </w:r>
      <w:r w:rsidRPr="00D746DF">
        <w:rPr>
          <w:b/>
        </w:rPr>
        <w:t>one month before the event</w:t>
      </w:r>
      <w:r w:rsidR="004E2DBF" w:rsidRPr="004E2DBF">
        <w:rPr>
          <w:b/>
        </w:rPr>
        <w:t>,</w:t>
      </w:r>
      <w:r>
        <w:t xml:space="preserve"> mail the i</w:t>
      </w:r>
      <w:r w:rsidR="00F41EDB">
        <w:t>nvitations</w:t>
      </w:r>
      <w:r w:rsidR="004E2DBF">
        <w:t xml:space="preserve"> </w:t>
      </w:r>
      <w:r>
        <w:t>—</w:t>
      </w:r>
      <w:r w:rsidR="004E2DBF">
        <w:t xml:space="preserve"> </w:t>
      </w:r>
      <w:r>
        <w:t>both in envelopes and as emails that are linked to the event webpage</w:t>
      </w:r>
      <w:r w:rsidR="00D746DF">
        <w:t xml:space="preserve">. Throughout this period, make follow-up calls to the </w:t>
      </w:r>
      <w:r w:rsidR="00A80CD5">
        <w:t>media</w:t>
      </w:r>
      <w:r w:rsidR="00D746DF">
        <w:t xml:space="preserve">. It may be time for a follow-up </w:t>
      </w:r>
      <w:r w:rsidR="00A80CD5">
        <w:t xml:space="preserve">news </w:t>
      </w:r>
      <w:r w:rsidR="00D746DF">
        <w:t>release.</w:t>
      </w:r>
    </w:p>
    <w:p w14:paraId="30EB0A0C" w14:textId="77777777" w:rsidR="009F56F0" w:rsidRDefault="009F56F0" w:rsidP="00A10D01">
      <w:pPr>
        <w:numPr>
          <w:ilvl w:val="0"/>
          <w:numId w:val="3"/>
        </w:numPr>
        <w:tabs>
          <w:tab w:val="clear" w:pos="360"/>
        </w:tabs>
        <w:ind w:left="720"/>
      </w:pPr>
      <w:r>
        <w:t>Refresh content on t</w:t>
      </w:r>
      <w:r w:rsidR="00325E0C">
        <w:t xml:space="preserve">he event webpage at least </w:t>
      </w:r>
      <w:r w:rsidR="00325E0C" w:rsidRPr="00D746DF">
        <w:rPr>
          <w:b/>
        </w:rPr>
        <w:t>weekly</w:t>
      </w:r>
      <w:r w:rsidR="00325E0C">
        <w:t xml:space="preserve">. As you make changes, think of ways to appeal to different kinds of donors. Incorporate photographs and visual elements. </w:t>
      </w:r>
    </w:p>
    <w:p w14:paraId="43ED3EAF" w14:textId="77777777" w:rsidR="009F56F0" w:rsidRDefault="009F56F0" w:rsidP="00A10D01">
      <w:pPr>
        <w:numPr>
          <w:ilvl w:val="0"/>
          <w:numId w:val="3"/>
        </w:numPr>
        <w:tabs>
          <w:tab w:val="clear" w:pos="360"/>
        </w:tabs>
        <w:ind w:left="720"/>
      </w:pPr>
      <w:r w:rsidRPr="00D746DF">
        <w:rPr>
          <w:b/>
        </w:rPr>
        <w:t>Two w</w:t>
      </w:r>
      <w:r w:rsidR="00325E0C" w:rsidRPr="00D746DF">
        <w:rPr>
          <w:b/>
        </w:rPr>
        <w:t>eeks before the event</w:t>
      </w:r>
      <w:r w:rsidR="004E2DBF" w:rsidRPr="004E2DBF">
        <w:rPr>
          <w:b/>
        </w:rPr>
        <w:t>,</w:t>
      </w:r>
      <w:r w:rsidR="00325E0C">
        <w:t xml:space="preserve"> </w:t>
      </w:r>
      <w:r w:rsidR="00491662">
        <w:t xml:space="preserve">finish the program </w:t>
      </w:r>
      <w:r>
        <w:t>copy</w:t>
      </w:r>
      <w:r w:rsidR="00491662">
        <w:t xml:space="preserve"> and print programs</w:t>
      </w:r>
      <w:r w:rsidR="00D138D2">
        <w:t>.</w:t>
      </w:r>
      <w:r w:rsidR="00325E0C">
        <w:t xml:space="preserve"> Complete your decoration and event production plans and assign roles to staff, board, and volunteers.</w:t>
      </w:r>
    </w:p>
    <w:p w14:paraId="7F8A8E9F" w14:textId="77777777" w:rsidR="00D746DF" w:rsidRDefault="00D746DF" w:rsidP="00A10D01">
      <w:pPr>
        <w:numPr>
          <w:ilvl w:val="0"/>
          <w:numId w:val="3"/>
        </w:numPr>
        <w:tabs>
          <w:tab w:val="clear" w:pos="360"/>
        </w:tabs>
        <w:ind w:left="720"/>
      </w:pPr>
      <w:r w:rsidRPr="00D746DF">
        <w:rPr>
          <w:b/>
        </w:rPr>
        <w:lastRenderedPageBreak/>
        <w:t>Three to four days before your event</w:t>
      </w:r>
      <w:r w:rsidR="004E2DBF" w:rsidRPr="004E2DBF">
        <w:rPr>
          <w:b/>
        </w:rPr>
        <w:t>,</w:t>
      </w:r>
      <w:r>
        <w:t xml:space="preserve"> confirm all reservations,</w:t>
      </w:r>
      <w:r w:rsidR="004E2DBF">
        <w:t xml:space="preserve"> and</w:t>
      </w:r>
      <w:r>
        <w:t xml:space="preserve"> check to see if anyone has a restricted diet or needs an accommodation. Organize the table seating.</w:t>
      </w:r>
    </w:p>
    <w:p w14:paraId="018E5BCF" w14:textId="77777777" w:rsidR="00D746DF" w:rsidRDefault="00D746DF" w:rsidP="00A10D01">
      <w:pPr>
        <w:numPr>
          <w:ilvl w:val="0"/>
          <w:numId w:val="3"/>
        </w:numPr>
        <w:tabs>
          <w:tab w:val="clear" w:pos="360"/>
        </w:tabs>
        <w:ind w:left="720"/>
      </w:pPr>
      <w:r w:rsidRPr="00D746DF">
        <w:rPr>
          <w:b/>
        </w:rPr>
        <w:t>The day before your event</w:t>
      </w:r>
      <w:r w:rsidR="004E2DBF" w:rsidRPr="004E2DBF">
        <w:rPr>
          <w:b/>
        </w:rPr>
        <w:t>,</w:t>
      </w:r>
      <w:r>
        <w:t xml:space="preserve"> prepare place cards and nametags. Review guest lists. Make one more round of </w:t>
      </w:r>
      <w:r w:rsidR="00A80CD5">
        <w:t xml:space="preserve">media </w:t>
      </w:r>
      <w:r>
        <w:t>calls.</w:t>
      </w:r>
    </w:p>
    <w:p w14:paraId="4D64B2FF" w14:textId="77777777" w:rsidR="00D746DF" w:rsidRDefault="00D746DF" w:rsidP="00A10D01">
      <w:pPr>
        <w:numPr>
          <w:ilvl w:val="0"/>
          <w:numId w:val="3"/>
        </w:numPr>
        <w:tabs>
          <w:tab w:val="clear" w:pos="360"/>
        </w:tabs>
        <w:ind w:left="720"/>
      </w:pPr>
      <w:r>
        <w:rPr>
          <w:b/>
        </w:rPr>
        <w:t xml:space="preserve">Event day! </w:t>
      </w:r>
      <w:r>
        <w:t>Make last</w:t>
      </w:r>
      <w:r w:rsidR="004E2DBF">
        <w:t>-</w:t>
      </w:r>
      <w:r>
        <w:t xml:space="preserve">minute changes </w:t>
      </w:r>
      <w:r w:rsidR="00D138D2">
        <w:t>in the</w:t>
      </w:r>
      <w:r>
        <w:t xml:space="preserve"> guest list and seating; oversee arrangements and décor; pick up special guests.</w:t>
      </w:r>
    </w:p>
    <w:p w14:paraId="2B33AD37" w14:textId="77777777" w:rsidR="00491662" w:rsidRDefault="00491662" w:rsidP="00A10D01">
      <w:pPr>
        <w:numPr>
          <w:ilvl w:val="0"/>
          <w:numId w:val="3"/>
        </w:numPr>
        <w:tabs>
          <w:tab w:val="clear" w:pos="360"/>
        </w:tabs>
        <w:ind w:left="720"/>
      </w:pPr>
      <w:r w:rsidRPr="00D746DF">
        <w:rPr>
          <w:b/>
        </w:rPr>
        <w:t>The day after your event</w:t>
      </w:r>
      <w:r w:rsidR="004E2DBF" w:rsidRPr="004E2DBF">
        <w:rPr>
          <w:b/>
        </w:rPr>
        <w:t>,</w:t>
      </w:r>
      <w:r>
        <w:t xml:space="preserve"> it’s time to thank people. Personal phone calls and handwritten notes are particularly gracious. Thank your sponsors, chairs, donors, and volunteers. Recognize them in an e-newsletter or on your website. Before you know it, it will be time to ask for their help with the next year’s special event. </w:t>
      </w:r>
    </w:p>
    <w:p w14:paraId="7888EE58" w14:textId="77777777" w:rsidR="00F41EDB" w:rsidRDefault="00F41EDB"/>
    <w:p w14:paraId="22BF0571" w14:textId="77777777" w:rsidR="00F41EDB" w:rsidRDefault="00F41EDB">
      <w:pPr>
        <w:rPr>
          <w:b/>
          <w:bCs/>
        </w:rPr>
      </w:pPr>
      <w:r>
        <w:rPr>
          <w:b/>
          <w:bCs/>
        </w:rPr>
        <w:t>Day of event checklist of things to take/arrangements to make:</w:t>
      </w:r>
    </w:p>
    <w:p w14:paraId="154088E2" w14:textId="77777777" w:rsidR="00F41EDB" w:rsidRDefault="00D138D2" w:rsidP="00A10D01">
      <w:pPr>
        <w:numPr>
          <w:ilvl w:val="0"/>
          <w:numId w:val="21"/>
        </w:numPr>
        <w:tabs>
          <w:tab w:val="clear" w:pos="360"/>
        </w:tabs>
        <w:ind w:left="720"/>
      </w:pPr>
      <w:r>
        <w:t>Place cards</w:t>
      </w:r>
      <w:r w:rsidR="00F41EDB">
        <w:t>, signs, and nametags</w:t>
      </w:r>
    </w:p>
    <w:p w14:paraId="67D00EDB" w14:textId="77777777" w:rsidR="00F41EDB" w:rsidRDefault="00F41EDB" w:rsidP="00A10D01">
      <w:pPr>
        <w:numPr>
          <w:ilvl w:val="0"/>
          <w:numId w:val="21"/>
        </w:numPr>
        <w:tabs>
          <w:tab w:val="clear" w:pos="360"/>
        </w:tabs>
        <w:ind w:left="720"/>
      </w:pPr>
      <w:r>
        <w:t>Sound system</w:t>
      </w:r>
      <w:r w:rsidR="00D746DF">
        <w:t>, lighting equipment, microphones,</w:t>
      </w:r>
      <w:r>
        <w:t xml:space="preserve"> and </w:t>
      </w:r>
      <w:r w:rsidR="00D746DF">
        <w:t>any other equipment as needed</w:t>
      </w:r>
    </w:p>
    <w:p w14:paraId="33D6CFB6" w14:textId="77777777" w:rsidR="00F41EDB" w:rsidRDefault="00F41EDB" w:rsidP="00A10D01">
      <w:pPr>
        <w:numPr>
          <w:ilvl w:val="0"/>
          <w:numId w:val="21"/>
        </w:numPr>
        <w:tabs>
          <w:tab w:val="clear" w:pos="360"/>
        </w:tabs>
        <w:ind w:left="720"/>
      </w:pPr>
      <w:r>
        <w:t>Flowers</w:t>
      </w:r>
    </w:p>
    <w:p w14:paraId="52EB3F06" w14:textId="77777777" w:rsidR="00F41EDB" w:rsidRDefault="00F41EDB" w:rsidP="00A10D01">
      <w:pPr>
        <w:numPr>
          <w:ilvl w:val="0"/>
          <w:numId w:val="21"/>
        </w:numPr>
        <w:tabs>
          <w:tab w:val="clear" w:pos="360"/>
        </w:tabs>
        <w:ind w:left="720"/>
      </w:pPr>
      <w:r>
        <w:t>Tables and chairs for check-in, display of information, will-call, etc.</w:t>
      </w:r>
    </w:p>
    <w:p w14:paraId="25DDB514" w14:textId="77777777" w:rsidR="00F41EDB" w:rsidRDefault="00F41EDB" w:rsidP="00A10D01">
      <w:pPr>
        <w:numPr>
          <w:ilvl w:val="0"/>
          <w:numId w:val="21"/>
        </w:numPr>
        <w:tabs>
          <w:tab w:val="clear" w:pos="360"/>
        </w:tabs>
        <w:ind w:left="720"/>
      </w:pPr>
      <w:r>
        <w:t>Displays (if available) about your organization</w:t>
      </w:r>
    </w:p>
    <w:p w14:paraId="45788952" w14:textId="77777777" w:rsidR="00F41EDB" w:rsidRDefault="00F41EDB" w:rsidP="00A10D01">
      <w:pPr>
        <w:numPr>
          <w:ilvl w:val="0"/>
          <w:numId w:val="21"/>
        </w:numPr>
        <w:tabs>
          <w:tab w:val="clear" w:pos="360"/>
        </w:tabs>
        <w:ind w:left="720"/>
      </w:pPr>
      <w:r>
        <w:t>Coat check</w:t>
      </w:r>
    </w:p>
    <w:p w14:paraId="3C38EC73" w14:textId="77777777" w:rsidR="00F41EDB" w:rsidRDefault="00F41EDB" w:rsidP="00A10D01">
      <w:pPr>
        <w:numPr>
          <w:ilvl w:val="0"/>
          <w:numId w:val="21"/>
        </w:numPr>
        <w:tabs>
          <w:tab w:val="clear" w:pos="360"/>
        </w:tabs>
        <w:ind w:left="720"/>
      </w:pPr>
      <w:r>
        <w:t>Guest list(s) and seating chart</w:t>
      </w:r>
    </w:p>
    <w:p w14:paraId="6ED3D390" w14:textId="77777777" w:rsidR="00F41EDB" w:rsidRDefault="00F41EDB" w:rsidP="00A10D01">
      <w:pPr>
        <w:numPr>
          <w:ilvl w:val="0"/>
          <w:numId w:val="21"/>
        </w:numPr>
        <w:tabs>
          <w:tab w:val="clear" w:pos="360"/>
        </w:tabs>
        <w:ind w:left="720"/>
      </w:pPr>
      <w:r>
        <w:t>Guest book</w:t>
      </w:r>
    </w:p>
    <w:p w14:paraId="4F6828B5" w14:textId="77777777" w:rsidR="00F41EDB" w:rsidRDefault="00F41EDB" w:rsidP="00A10D01">
      <w:pPr>
        <w:numPr>
          <w:ilvl w:val="0"/>
          <w:numId w:val="21"/>
        </w:numPr>
        <w:tabs>
          <w:tab w:val="clear" w:pos="360"/>
        </w:tabs>
        <w:ind w:left="720"/>
      </w:pPr>
      <w:r>
        <w:t>Printed information about your organization</w:t>
      </w:r>
    </w:p>
    <w:p w14:paraId="69EE8915" w14:textId="77777777" w:rsidR="00F41EDB" w:rsidRDefault="00F41EDB" w:rsidP="00A10D01">
      <w:pPr>
        <w:numPr>
          <w:ilvl w:val="0"/>
          <w:numId w:val="21"/>
        </w:numPr>
        <w:tabs>
          <w:tab w:val="clear" w:pos="360"/>
        </w:tabs>
        <w:ind w:left="720"/>
      </w:pPr>
      <w:r>
        <w:t>Pens and pencils</w:t>
      </w:r>
    </w:p>
    <w:p w14:paraId="7F0DE8F4" w14:textId="77777777" w:rsidR="00F41EDB" w:rsidRDefault="00F41EDB" w:rsidP="00A10D01">
      <w:pPr>
        <w:numPr>
          <w:ilvl w:val="0"/>
          <w:numId w:val="21"/>
        </w:numPr>
        <w:tabs>
          <w:tab w:val="clear" w:pos="360"/>
        </w:tabs>
        <w:ind w:left="720"/>
      </w:pPr>
      <w:r>
        <w:t>Drink tickets</w:t>
      </w:r>
    </w:p>
    <w:p w14:paraId="53AEE248" w14:textId="77777777" w:rsidR="00F41EDB" w:rsidRDefault="00F41EDB" w:rsidP="00A10D01">
      <w:pPr>
        <w:numPr>
          <w:ilvl w:val="0"/>
          <w:numId w:val="21"/>
        </w:numPr>
        <w:tabs>
          <w:tab w:val="clear" w:pos="360"/>
        </w:tabs>
        <w:ind w:left="720"/>
      </w:pPr>
      <w:r>
        <w:t>Cash box and receipts</w:t>
      </w:r>
    </w:p>
    <w:p w14:paraId="772BD7EB" w14:textId="77777777" w:rsidR="00F41EDB" w:rsidRDefault="00F41EDB" w:rsidP="00A10D01">
      <w:pPr>
        <w:numPr>
          <w:ilvl w:val="0"/>
          <w:numId w:val="21"/>
        </w:numPr>
        <w:tabs>
          <w:tab w:val="clear" w:pos="360"/>
        </w:tabs>
        <w:ind w:left="720"/>
      </w:pPr>
      <w:r>
        <w:t>Money to make change</w:t>
      </w:r>
    </w:p>
    <w:p w14:paraId="6807448F" w14:textId="77777777" w:rsidR="00F41EDB" w:rsidRDefault="00F41EDB" w:rsidP="00A10D01">
      <w:pPr>
        <w:numPr>
          <w:ilvl w:val="0"/>
          <w:numId w:val="21"/>
        </w:numPr>
        <w:tabs>
          <w:tab w:val="clear" w:pos="360"/>
        </w:tabs>
        <w:ind w:left="720"/>
      </w:pPr>
      <w:r>
        <w:t>Names of special guests</w:t>
      </w:r>
    </w:p>
    <w:p w14:paraId="79DE1B41" w14:textId="77777777" w:rsidR="00F41EDB" w:rsidRDefault="00F41EDB" w:rsidP="00A10D01">
      <w:pPr>
        <w:numPr>
          <w:ilvl w:val="0"/>
          <w:numId w:val="21"/>
        </w:numPr>
        <w:tabs>
          <w:tab w:val="clear" w:pos="360"/>
        </w:tabs>
        <w:ind w:left="720"/>
      </w:pPr>
      <w:r>
        <w:t>Greeters</w:t>
      </w:r>
    </w:p>
    <w:p w14:paraId="58C88FBD" w14:textId="77777777" w:rsidR="00F41EDB" w:rsidRDefault="00F41EDB" w:rsidP="00A10D01">
      <w:pPr>
        <w:numPr>
          <w:ilvl w:val="0"/>
          <w:numId w:val="21"/>
        </w:numPr>
        <w:tabs>
          <w:tab w:val="clear" w:pos="360"/>
        </w:tabs>
        <w:ind w:left="720"/>
      </w:pPr>
      <w:r>
        <w:t>Volunteers to assist with décor, arrangements, and checking in guests</w:t>
      </w:r>
    </w:p>
    <w:p w14:paraId="213F1AB5" w14:textId="77777777" w:rsidR="00F41EDB" w:rsidRDefault="00875429" w:rsidP="00A10D01">
      <w:pPr>
        <w:numPr>
          <w:ilvl w:val="0"/>
          <w:numId w:val="21"/>
        </w:numPr>
        <w:tabs>
          <w:tab w:val="clear" w:pos="360"/>
        </w:tabs>
        <w:ind w:left="720"/>
      </w:pPr>
      <w:r>
        <w:t>One person assigned to be</w:t>
      </w:r>
      <w:r w:rsidR="00A10D01">
        <w:t xml:space="preserve"> in </w:t>
      </w:r>
      <w:r w:rsidR="00F41EDB">
        <w:t>charge of problems (such as unexpected guests, seating changes, or late speakers)</w:t>
      </w:r>
    </w:p>
    <w:sectPr w:rsidR="00F41E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2AAC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BAF00540"/>
    <w:lvl w:ilvl="0">
      <w:start w:val="1"/>
      <w:numFmt w:val="bullet"/>
      <w:lvlText w:val=""/>
      <w:lvlJc w:val="left"/>
      <w:pPr>
        <w:tabs>
          <w:tab w:val="num" w:pos="360"/>
        </w:tabs>
        <w:ind w:left="360" w:hanging="360"/>
      </w:pPr>
      <w:rPr>
        <w:rFonts w:ascii="Symbol" w:hAnsi="Symbol" w:hint="default"/>
      </w:rPr>
    </w:lvl>
  </w:abstractNum>
  <w:abstractNum w:abstractNumId="2">
    <w:nsid w:val="051809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A60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CAF45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C43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0F050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65264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F5457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62E43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79B07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89C08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9CC0B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BFF6D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4AA6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67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22E3F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B5161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D2906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0617A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0E142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4"/>
  </w:num>
  <w:num w:numId="4">
    <w:abstractNumId w:val="7"/>
  </w:num>
  <w:num w:numId="5">
    <w:abstractNumId w:val="15"/>
  </w:num>
  <w:num w:numId="6">
    <w:abstractNumId w:val="10"/>
  </w:num>
  <w:num w:numId="7">
    <w:abstractNumId w:val="14"/>
  </w:num>
  <w:num w:numId="8">
    <w:abstractNumId w:val="20"/>
  </w:num>
  <w:num w:numId="9">
    <w:abstractNumId w:val="5"/>
  </w:num>
  <w:num w:numId="10">
    <w:abstractNumId w:val="18"/>
  </w:num>
  <w:num w:numId="11">
    <w:abstractNumId w:val="6"/>
  </w:num>
  <w:num w:numId="12">
    <w:abstractNumId w:val="13"/>
  </w:num>
  <w:num w:numId="13">
    <w:abstractNumId w:val="16"/>
  </w:num>
  <w:num w:numId="14">
    <w:abstractNumId w:val="19"/>
  </w:num>
  <w:num w:numId="15">
    <w:abstractNumId w:val="2"/>
  </w:num>
  <w:num w:numId="16">
    <w:abstractNumId w:val="9"/>
  </w:num>
  <w:num w:numId="17">
    <w:abstractNumId w:val="12"/>
  </w:num>
  <w:num w:numId="18">
    <w:abstractNumId w:val="8"/>
  </w:num>
  <w:num w:numId="19">
    <w:abstractNumId w:val="17"/>
  </w:num>
  <w:num w:numId="20">
    <w:abstractNumId w:val="11"/>
  </w:num>
  <w:num w:numId="21">
    <w:abstractNumId w:val="3"/>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DB"/>
    <w:rsid w:val="001165C4"/>
    <w:rsid w:val="002F4E28"/>
    <w:rsid w:val="00325E0C"/>
    <w:rsid w:val="00491662"/>
    <w:rsid w:val="004B3E54"/>
    <w:rsid w:val="004E2DBF"/>
    <w:rsid w:val="005170A7"/>
    <w:rsid w:val="0052048A"/>
    <w:rsid w:val="00603D17"/>
    <w:rsid w:val="006A6E8D"/>
    <w:rsid w:val="006C2BFD"/>
    <w:rsid w:val="007F4343"/>
    <w:rsid w:val="00875429"/>
    <w:rsid w:val="008B3B14"/>
    <w:rsid w:val="009C65E5"/>
    <w:rsid w:val="009F56F0"/>
    <w:rsid w:val="00A10D01"/>
    <w:rsid w:val="00A80CD5"/>
    <w:rsid w:val="00AC5D76"/>
    <w:rsid w:val="00B9721F"/>
    <w:rsid w:val="00BA1A7A"/>
    <w:rsid w:val="00BD4455"/>
    <w:rsid w:val="00BF70C2"/>
    <w:rsid w:val="00C04A6B"/>
    <w:rsid w:val="00C94C1D"/>
    <w:rsid w:val="00D138D2"/>
    <w:rsid w:val="00D746DF"/>
    <w:rsid w:val="00F41EDB"/>
    <w:rsid w:val="00FA1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8B4F5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link w:val="Heading1Char"/>
    <w:uiPriority w:val="99"/>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rsid w:val="00F41ED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ahoma" w:hAnsi="Tahoma" w:cs="Tahoma"/>
      <w:sz w:val="16"/>
      <w:szCs w:val="16"/>
    </w:rPr>
  </w:style>
  <w:style w:type="paragraph" w:styleId="ListBullet">
    <w:name w:val="List Bullet"/>
    <w:basedOn w:val="Normal"/>
    <w:uiPriority w:val="99"/>
    <w:semiHidden/>
    <w:unhideWhenUsed/>
    <w:rsid w:val="004E2DBF"/>
    <w:pPr>
      <w:numPr>
        <w:numId w:val="21"/>
      </w:numPr>
      <w:contextualSpacing/>
    </w:pPr>
  </w:style>
  <w:style w:type="character" w:styleId="Hyperlink">
    <w:name w:val="Hyperlink"/>
    <w:uiPriority w:val="99"/>
    <w:unhideWhenUsed/>
    <w:rsid w:val="004E2DBF"/>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link w:val="Heading1Char"/>
    <w:uiPriority w:val="99"/>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rsid w:val="00F41ED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ahoma" w:hAnsi="Tahoma" w:cs="Tahoma"/>
      <w:sz w:val="16"/>
      <w:szCs w:val="16"/>
    </w:rPr>
  </w:style>
  <w:style w:type="paragraph" w:styleId="ListBullet">
    <w:name w:val="List Bullet"/>
    <w:basedOn w:val="Normal"/>
    <w:uiPriority w:val="99"/>
    <w:semiHidden/>
    <w:unhideWhenUsed/>
    <w:rsid w:val="004E2DBF"/>
    <w:pPr>
      <w:numPr>
        <w:numId w:val="21"/>
      </w:numPr>
      <w:contextualSpacing/>
    </w:pPr>
  </w:style>
  <w:style w:type="character" w:styleId="Hyperlink">
    <w:name w:val="Hyperlink"/>
    <w:uiPriority w:val="99"/>
    <w:unhideWhenUsed/>
    <w:rsid w:val="004E2DB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dealware.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15-1A:  Sample Special Events Timeline</vt:lpstr>
    </vt:vector>
  </TitlesOfParts>
  <Company>Hutton and Associates</Company>
  <LinksUpToDate>false</LinksUpToDate>
  <CharactersWithSpaces>4558</CharactersWithSpaces>
  <SharedDoc>false</SharedDoc>
  <HLinks>
    <vt:vector size="6" baseType="variant">
      <vt:variant>
        <vt:i4>4653068</vt:i4>
      </vt:variant>
      <vt:variant>
        <vt:i4>0</vt:i4>
      </vt:variant>
      <vt:variant>
        <vt:i4>0</vt:i4>
      </vt:variant>
      <vt:variant>
        <vt:i4>5</vt:i4>
      </vt:variant>
      <vt:variant>
        <vt:lpwstr>http://www.idealware.org/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15-1A:  Sample Special Events Timeline</dc:title>
  <dc:subject/>
  <dc:creator>Frances Phillips</dc:creator>
  <cp:keywords/>
  <cp:lastModifiedBy>Liz Kuball</cp:lastModifiedBy>
  <cp:revision>6</cp:revision>
  <dcterms:created xsi:type="dcterms:W3CDTF">2016-10-06T23:49:00Z</dcterms:created>
  <dcterms:modified xsi:type="dcterms:W3CDTF">2016-10-07T00:08:00Z</dcterms:modified>
</cp:coreProperties>
</file>