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27A35" w14:textId="77777777" w:rsidR="00DF23DD" w:rsidRPr="005559CA" w:rsidRDefault="00DF23DD" w:rsidP="00330763">
      <w:pPr>
        <w:pStyle w:val="Heading1"/>
        <w:jc w:val="center"/>
        <w:rPr>
          <w:rFonts w:ascii="Georgia" w:hAnsi="Georgia"/>
          <w:i/>
          <w:sz w:val="28"/>
          <w:szCs w:val="28"/>
        </w:rPr>
      </w:pPr>
      <w:r w:rsidRPr="005559CA">
        <w:rPr>
          <w:rFonts w:ascii="Georgia" w:hAnsi="Georgia"/>
          <w:i/>
          <w:sz w:val="28"/>
          <w:szCs w:val="28"/>
        </w:rPr>
        <w:t>Sample Company-Spon</w:t>
      </w:r>
      <w:r w:rsidR="005559CA" w:rsidRPr="005559CA">
        <w:rPr>
          <w:rFonts w:ascii="Georgia" w:hAnsi="Georgia"/>
          <w:i/>
          <w:sz w:val="28"/>
          <w:szCs w:val="28"/>
        </w:rPr>
        <w:t>sored Foundation</w:t>
      </w:r>
      <w:r w:rsidR="005559CA" w:rsidRPr="005559CA">
        <w:rPr>
          <w:rFonts w:ascii="Georgia" w:hAnsi="Georgia"/>
          <w:i/>
          <w:sz w:val="28"/>
          <w:szCs w:val="28"/>
        </w:rPr>
        <w:br/>
        <w:t xml:space="preserve">Guidelines </w:t>
      </w:r>
      <w:r w:rsidR="00330763" w:rsidRPr="005559CA">
        <w:rPr>
          <w:rFonts w:ascii="Georgia" w:hAnsi="Georgia"/>
          <w:i/>
          <w:sz w:val="28"/>
          <w:szCs w:val="28"/>
        </w:rPr>
        <w:t xml:space="preserve">and </w:t>
      </w:r>
      <w:r w:rsidRPr="005559CA">
        <w:rPr>
          <w:rFonts w:ascii="Georgia" w:hAnsi="Georgia"/>
          <w:i/>
          <w:sz w:val="28"/>
          <w:szCs w:val="28"/>
        </w:rPr>
        <w:t>Application Information</w:t>
      </w:r>
    </w:p>
    <w:p w14:paraId="4D5745EE" w14:textId="77777777" w:rsidR="00DF23DD" w:rsidRDefault="00DF23DD"/>
    <w:p w14:paraId="28228CE9" w14:textId="77777777" w:rsidR="00DF23DD" w:rsidRDefault="00DF23DD">
      <w:r>
        <w:t>The Nonesuch Foundation emphasizes support to orga</w:t>
      </w:r>
      <w:r w:rsidR="00AE3426">
        <w:t>nizations located in the Atlanta</w:t>
      </w:r>
      <w:r>
        <w:t xml:space="preserve"> area and other communities where Nonesuch has a sizable employee representation (see list below).</w:t>
      </w:r>
    </w:p>
    <w:p w14:paraId="50848B21" w14:textId="77777777" w:rsidR="00DF23DD" w:rsidRDefault="00DF23DD"/>
    <w:p w14:paraId="07DA4B95" w14:textId="77777777" w:rsidR="00DF23DD" w:rsidRDefault="00DF23DD">
      <w:r>
        <w:t>Although the Foundation funds a variety of social, educational, and cultural projects, priority is given to:</w:t>
      </w:r>
    </w:p>
    <w:p w14:paraId="5C923765" w14:textId="77777777" w:rsidR="00DF23DD" w:rsidRDefault="00DF23DD"/>
    <w:p w14:paraId="7063F43B" w14:textId="77777777" w:rsidR="00DF23DD" w:rsidRDefault="00DF23DD">
      <w:pPr>
        <w:numPr>
          <w:ilvl w:val="0"/>
          <w:numId w:val="1"/>
        </w:numPr>
      </w:pPr>
      <w:r>
        <w:t>Youth Programs, especially those that offer educational enrichmen</w:t>
      </w:r>
      <w:r w:rsidR="00330763">
        <w:t>t and recreation opportunities.</w:t>
      </w:r>
      <w:r>
        <w:t xml:space="preserve"> This program emphasizes both teens and pre-teens.</w:t>
      </w:r>
    </w:p>
    <w:p w14:paraId="459D73C5" w14:textId="77777777" w:rsidR="00DF23DD" w:rsidRDefault="00DF23DD">
      <w:pPr>
        <w:numPr>
          <w:ilvl w:val="0"/>
          <w:numId w:val="1"/>
        </w:numPr>
      </w:pPr>
      <w:r>
        <w:t>Emergenc</w:t>
      </w:r>
      <w:bookmarkStart w:id="0" w:name="_GoBack"/>
      <w:bookmarkEnd w:id="0"/>
      <w:r>
        <w:t>y Services for Families in Crisis, including emergency food programs and shelters for mothers and their children who are in a temporary crisis situation.</w:t>
      </w:r>
    </w:p>
    <w:p w14:paraId="446F1B9E" w14:textId="77777777" w:rsidR="00DF23DD" w:rsidRDefault="00DF23DD">
      <w:pPr>
        <w:numPr>
          <w:ilvl w:val="0"/>
          <w:numId w:val="1"/>
        </w:numPr>
      </w:pPr>
      <w:r>
        <w:t>Community Action Fund, supporting volunteer efforts on behalf of neighborhood beautification</w:t>
      </w:r>
      <w:r w:rsidR="00330763">
        <w:t xml:space="preserve"> </w:t>
      </w:r>
      <w:r>
        <w:t>—</w:t>
      </w:r>
      <w:r w:rsidR="00330763">
        <w:t xml:space="preserve"> </w:t>
      </w:r>
      <w:r>
        <w:t>such projects as enhancing parks, playgrounds, bicycle and walking paths, and community recreation centers</w:t>
      </w:r>
      <w:r w:rsidR="00330763">
        <w:t>.</w:t>
      </w:r>
    </w:p>
    <w:p w14:paraId="75834813" w14:textId="77777777" w:rsidR="00DF23DD" w:rsidRDefault="00DF23DD">
      <w:pPr>
        <w:numPr>
          <w:ilvl w:val="0"/>
          <w:numId w:val="1"/>
        </w:numPr>
      </w:pPr>
      <w:r>
        <w:t>Disaster Relief for Nonesuch communities, assisting with clean-up efforts, and emergency food and medical supplies</w:t>
      </w:r>
      <w:r w:rsidR="00330763">
        <w:t>.</w:t>
      </w:r>
    </w:p>
    <w:p w14:paraId="4870EC46" w14:textId="77777777" w:rsidR="00DF23DD" w:rsidRDefault="00DF23DD">
      <w:pPr>
        <w:ind w:left="360"/>
      </w:pPr>
    </w:p>
    <w:p w14:paraId="2F251E82" w14:textId="77777777" w:rsidR="00DF23DD" w:rsidRDefault="00DF23DD">
      <w:r>
        <w:t>Grants are made for specific projects and equipment as well as</w:t>
      </w:r>
      <w:r w:rsidR="00330763">
        <w:t xml:space="preserve"> for general operating support.</w:t>
      </w:r>
      <w:r>
        <w:t xml:space="preserve"> In most cases, contributions to colleges, universities, and other educational institutions are made through the Nonesuch Employee Matching Gifts Program, not through direct grants.</w:t>
      </w:r>
    </w:p>
    <w:p w14:paraId="3E103C57" w14:textId="77777777" w:rsidR="00DF23DD" w:rsidRDefault="00DF23DD"/>
    <w:p w14:paraId="0FE7AAA7" w14:textId="77777777" w:rsidR="00DF23DD" w:rsidRDefault="00330763">
      <w:r>
        <w:t xml:space="preserve">Grants are not made to </w:t>
      </w:r>
      <w:r w:rsidR="00DF23DD">
        <w:t>endowment campaigns, individuals, religious organizations for religious purposes, advertising in charitable publications, political organizations, capital campaigns, film or research projects, annual pledge drives, or fraternal groups.</w:t>
      </w:r>
    </w:p>
    <w:p w14:paraId="458A825D" w14:textId="77777777" w:rsidR="00DF23DD" w:rsidRDefault="00DF23DD"/>
    <w:p w14:paraId="6DB7FE60" w14:textId="77777777" w:rsidR="00DF23DD" w:rsidRDefault="00DF23DD">
      <w:pPr>
        <w:pStyle w:val="Heading3"/>
      </w:pPr>
      <w:r>
        <w:t>Application Procedures</w:t>
      </w:r>
    </w:p>
    <w:p w14:paraId="46A6ABD9" w14:textId="77777777" w:rsidR="00DF23DD" w:rsidRDefault="00DF23DD"/>
    <w:p w14:paraId="031B9128" w14:textId="77777777" w:rsidR="00DF23DD" w:rsidRDefault="00DF23DD">
      <w:pPr>
        <w:numPr>
          <w:ilvl w:val="0"/>
          <w:numId w:val="2"/>
        </w:numPr>
      </w:pPr>
      <w:r>
        <w:t>A letter of no more than two pages, which includes:</w:t>
      </w:r>
    </w:p>
    <w:p w14:paraId="539C5F88" w14:textId="77777777" w:rsidR="00DF23DD" w:rsidRDefault="00DF23DD">
      <w:pPr>
        <w:numPr>
          <w:ilvl w:val="1"/>
          <w:numId w:val="2"/>
        </w:numPr>
      </w:pPr>
      <w:r>
        <w:t>A description of the organization and its mission</w:t>
      </w:r>
    </w:p>
    <w:p w14:paraId="3109C07F" w14:textId="77777777" w:rsidR="00DF23DD" w:rsidRDefault="00DF23DD">
      <w:pPr>
        <w:numPr>
          <w:ilvl w:val="1"/>
          <w:numId w:val="2"/>
        </w:numPr>
      </w:pPr>
      <w:r>
        <w:t>A request for a specific amount of money</w:t>
      </w:r>
    </w:p>
    <w:p w14:paraId="5E2A9BAE" w14:textId="77777777" w:rsidR="00DF23DD" w:rsidRDefault="00DF23DD">
      <w:pPr>
        <w:numPr>
          <w:ilvl w:val="1"/>
          <w:numId w:val="2"/>
        </w:numPr>
      </w:pPr>
      <w:r>
        <w:t>An explanation of how the funds will be used</w:t>
      </w:r>
    </w:p>
    <w:p w14:paraId="23A3505C" w14:textId="77777777" w:rsidR="00DF23DD" w:rsidRDefault="00DF23DD">
      <w:pPr>
        <w:numPr>
          <w:ilvl w:val="1"/>
          <w:numId w:val="2"/>
        </w:numPr>
      </w:pPr>
      <w:r>
        <w:t>A description of the constituency to be served</w:t>
      </w:r>
    </w:p>
    <w:p w14:paraId="4B4E8D59" w14:textId="77777777" w:rsidR="00DF23DD" w:rsidRDefault="00DF23DD">
      <w:pPr>
        <w:numPr>
          <w:ilvl w:val="1"/>
          <w:numId w:val="2"/>
        </w:numPr>
      </w:pPr>
      <w:r>
        <w:t>A description of how results of the project will be evaluated</w:t>
      </w:r>
    </w:p>
    <w:p w14:paraId="1F916474" w14:textId="77777777" w:rsidR="00DF23DD" w:rsidRDefault="00DF23DD">
      <w:pPr>
        <w:numPr>
          <w:ilvl w:val="0"/>
          <w:numId w:val="2"/>
        </w:numPr>
      </w:pPr>
      <w:r>
        <w:t>A one-page project budget</w:t>
      </w:r>
      <w:r w:rsidR="00AD507D">
        <w:t xml:space="preserve"> if you are applying for a specific project</w:t>
      </w:r>
    </w:p>
    <w:p w14:paraId="27C776CE" w14:textId="77777777" w:rsidR="00DF23DD" w:rsidRDefault="00DF23DD">
      <w:pPr>
        <w:numPr>
          <w:ilvl w:val="0"/>
          <w:numId w:val="2"/>
        </w:numPr>
      </w:pPr>
      <w:r>
        <w:t>A list of the board of directors with affiliations</w:t>
      </w:r>
    </w:p>
    <w:p w14:paraId="2A258D50" w14:textId="77777777" w:rsidR="00DF23DD" w:rsidRDefault="00DF23DD">
      <w:pPr>
        <w:numPr>
          <w:ilvl w:val="0"/>
          <w:numId w:val="2"/>
        </w:numPr>
      </w:pPr>
      <w:r>
        <w:t>An organizational budget for the current operating year, showing both expenses and income sources</w:t>
      </w:r>
    </w:p>
    <w:p w14:paraId="7DAAECAF" w14:textId="77777777" w:rsidR="00AD507D" w:rsidRDefault="00AD507D">
      <w:pPr>
        <w:numPr>
          <w:ilvl w:val="0"/>
          <w:numId w:val="2"/>
        </w:numPr>
      </w:pPr>
      <w:r>
        <w:t>Your organization’s m</w:t>
      </w:r>
      <w:r w:rsidR="004F1EAE">
        <w:t>o</w:t>
      </w:r>
      <w:r>
        <w:t>st recent financial statement</w:t>
      </w:r>
    </w:p>
    <w:p w14:paraId="2146DF60" w14:textId="77777777" w:rsidR="00DF23DD" w:rsidRDefault="00DF23DD">
      <w:pPr>
        <w:numPr>
          <w:ilvl w:val="0"/>
          <w:numId w:val="2"/>
        </w:numPr>
      </w:pPr>
      <w:r>
        <w:t>A list of corporate, foundation, and other contributions and amounts for the current and past year</w:t>
      </w:r>
    </w:p>
    <w:p w14:paraId="36F42BA2" w14:textId="77777777" w:rsidR="00DF23DD" w:rsidRDefault="00DF23DD">
      <w:pPr>
        <w:numPr>
          <w:ilvl w:val="0"/>
          <w:numId w:val="2"/>
        </w:numPr>
      </w:pPr>
      <w:r>
        <w:lastRenderedPageBreak/>
        <w:t>A copy of the Internal Revenue Service 501(c)(3) letter, designating the organization as a nonprofit, tax-exempt entity</w:t>
      </w:r>
    </w:p>
    <w:p w14:paraId="503AC3D0" w14:textId="77777777" w:rsidR="00DF23DD" w:rsidRDefault="00DF23DD">
      <w:pPr>
        <w:ind w:left="360"/>
      </w:pPr>
    </w:p>
    <w:p w14:paraId="7976D3DB" w14:textId="77777777" w:rsidR="00DF23DD" w:rsidRDefault="00DF23DD">
      <w:pPr>
        <w:ind w:left="360"/>
      </w:pPr>
      <w:r>
        <w:t>Proposals are</w:t>
      </w:r>
      <w:r w:rsidR="00330763">
        <w:t xml:space="preserve"> reviewed on an ongoing basis.</w:t>
      </w:r>
      <w:r w:rsidR="004F1EAE">
        <w:t xml:space="preserve"> After</w:t>
      </w:r>
      <w:r>
        <w:t xml:space="preserve"> an application is submitted, 30 to 60 days are required for a decision.</w:t>
      </w:r>
    </w:p>
    <w:p w14:paraId="5EAA7BD5" w14:textId="77777777" w:rsidR="00DF23DD" w:rsidRDefault="00DF23DD"/>
    <w:p w14:paraId="4D5D7D35" w14:textId="77777777" w:rsidR="00DF23DD" w:rsidRDefault="00DF23DD">
      <w:pPr>
        <w:pStyle w:val="Heading3"/>
      </w:pPr>
      <w:r>
        <w:t>Nonesuch Company, Inc. Sites</w:t>
      </w:r>
    </w:p>
    <w:p w14:paraId="16994A80" w14:textId="77777777" w:rsidR="00DF23DD" w:rsidRDefault="00DF23DD"/>
    <w:p w14:paraId="11CBC7BA" w14:textId="77777777" w:rsidR="00DF23DD" w:rsidRDefault="00DF23DD">
      <w:pPr>
        <w:pStyle w:val="Heading2"/>
      </w:pPr>
      <w:r>
        <w:t>Alabama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Arkansas</w:t>
      </w:r>
    </w:p>
    <w:p w14:paraId="51B9D906" w14:textId="77777777" w:rsidR="00DF23DD" w:rsidRDefault="00DF23DD">
      <w:r>
        <w:t>Montgomery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Little Rock</w:t>
      </w:r>
    </w:p>
    <w:p w14:paraId="61C7ACB2" w14:textId="77777777" w:rsidR="00DF23DD" w:rsidRDefault="00DF23DD"/>
    <w:p w14:paraId="4439099F" w14:textId="77777777" w:rsidR="00DF23DD" w:rsidRDefault="00DF23DD">
      <w:pPr>
        <w:pStyle w:val="Heading2"/>
      </w:pPr>
      <w:r>
        <w:t>Florida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Georgia</w:t>
      </w:r>
    </w:p>
    <w:p w14:paraId="5B32F43F" w14:textId="77777777" w:rsidR="00DF23DD" w:rsidRDefault="00DF23DD">
      <w:r>
        <w:t>T</w:t>
      </w:r>
      <w:r w:rsidR="00AE3426">
        <w:t>ampa-St. Petersburg</w:t>
      </w:r>
      <w:r w:rsidR="00AE3426">
        <w:tab/>
      </w:r>
      <w:r w:rsidR="00AE3426">
        <w:tab/>
      </w:r>
      <w:r w:rsidR="00AE3426">
        <w:tab/>
      </w:r>
      <w:r w:rsidR="00AE3426">
        <w:tab/>
      </w:r>
      <w:r w:rsidR="00AE3426">
        <w:tab/>
      </w:r>
      <w:r w:rsidR="00AE3426">
        <w:tab/>
        <w:t>Atlanta</w:t>
      </w:r>
    </w:p>
    <w:p w14:paraId="4CD10CC6" w14:textId="77777777" w:rsidR="00DF23DD" w:rsidRDefault="00AE34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Macon</w:t>
      </w:r>
    </w:p>
    <w:p w14:paraId="0AE3D363" w14:textId="77777777" w:rsidR="00DF23DD" w:rsidRDefault="00DF23DD"/>
    <w:p w14:paraId="61312D11" w14:textId="77777777" w:rsidR="00DF23DD" w:rsidRDefault="00DF23DD">
      <w:pPr>
        <w:rPr>
          <w:b/>
          <w:bCs/>
        </w:rPr>
      </w:pPr>
      <w:r>
        <w:rPr>
          <w:b/>
          <w:bCs/>
        </w:rPr>
        <w:t xml:space="preserve">Kentucky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North Carolina</w:t>
      </w:r>
    </w:p>
    <w:p w14:paraId="369AD68B" w14:textId="77777777" w:rsidR="00DF23DD" w:rsidRDefault="00DF23DD">
      <w:r>
        <w:t>Louisville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Greensboro</w:t>
      </w:r>
    </w:p>
    <w:p w14:paraId="6D256584" w14:textId="77777777" w:rsidR="00DF23DD" w:rsidRDefault="00DF23DD"/>
    <w:p w14:paraId="4EB45CAF" w14:textId="77777777" w:rsidR="00DF23DD" w:rsidRDefault="00DF23DD">
      <w:pPr>
        <w:pStyle w:val="Heading2"/>
      </w:pPr>
      <w:r>
        <w:t>Ohio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Texas</w:t>
      </w:r>
    </w:p>
    <w:p w14:paraId="7854766B" w14:textId="77777777" w:rsidR="00DF23DD" w:rsidRDefault="00DF23DD">
      <w:r>
        <w:t>Cincinnati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Houston</w:t>
      </w:r>
    </w:p>
    <w:p w14:paraId="5B4FE6B3" w14:textId="77777777" w:rsidR="00DF23DD" w:rsidRDefault="00DF23DD">
      <w:pPr>
        <w:pStyle w:val="Heading2"/>
      </w:pPr>
    </w:p>
    <w:p w14:paraId="2352365F" w14:textId="77777777" w:rsidR="00DF23DD" w:rsidRDefault="00DF23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2"/>
        <w:gridCol w:w="1771"/>
        <w:gridCol w:w="1771"/>
        <w:gridCol w:w="1772"/>
      </w:tblGrid>
      <w:tr w:rsidR="00DF23DD" w14:paraId="5CA3CE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2" w:type="dxa"/>
          </w:tcPr>
          <w:p w14:paraId="23FCB015" w14:textId="77777777" w:rsidR="00DF23DD" w:rsidRDefault="00DF23DD">
            <w:pPr>
              <w:pStyle w:val="Heading2"/>
            </w:pPr>
            <w:r>
              <w:t>Nonesuch Foundation Giving</w:t>
            </w:r>
          </w:p>
        </w:tc>
        <w:tc>
          <w:tcPr>
            <w:tcW w:w="1771" w:type="dxa"/>
          </w:tcPr>
          <w:p w14:paraId="2FFBD9BD" w14:textId="77777777" w:rsidR="00DF23DD" w:rsidRDefault="00DF23DD">
            <w:r>
              <w:t># of Grants</w:t>
            </w:r>
          </w:p>
        </w:tc>
        <w:tc>
          <w:tcPr>
            <w:tcW w:w="1771" w:type="dxa"/>
          </w:tcPr>
          <w:p w14:paraId="6BDD05C5" w14:textId="77777777" w:rsidR="00DF23DD" w:rsidRDefault="00DF23DD">
            <w:r>
              <w:t>Total $</w:t>
            </w:r>
          </w:p>
        </w:tc>
        <w:tc>
          <w:tcPr>
            <w:tcW w:w="1772" w:type="dxa"/>
          </w:tcPr>
          <w:p w14:paraId="193335CE" w14:textId="77777777" w:rsidR="00DF23DD" w:rsidRDefault="00DF23DD">
            <w:r>
              <w:t>% of Total</w:t>
            </w:r>
          </w:p>
        </w:tc>
      </w:tr>
      <w:tr w:rsidR="00DF23DD" w14:paraId="256B90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2" w:type="dxa"/>
          </w:tcPr>
          <w:p w14:paraId="132AFE88" w14:textId="77777777" w:rsidR="00DF23DD" w:rsidRDefault="00DF23DD">
            <w:r>
              <w:t>Youth Programs</w:t>
            </w:r>
          </w:p>
        </w:tc>
        <w:tc>
          <w:tcPr>
            <w:tcW w:w="1771" w:type="dxa"/>
          </w:tcPr>
          <w:p w14:paraId="7373661E" w14:textId="77777777" w:rsidR="00DF23DD" w:rsidRDefault="00DF23DD">
            <w:r>
              <w:t xml:space="preserve">  204</w:t>
            </w:r>
          </w:p>
        </w:tc>
        <w:tc>
          <w:tcPr>
            <w:tcW w:w="1771" w:type="dxa"/>
          </w:tcPr>
          <w:p w14:paraId="2D218E60" w14:textId="77777777" w:rsidR="00DF23DD" w:rsidRDefault="00DF23DD">
            <w:r>
              <w:t>$1,057,000</w:t>
            </w:r>
          </w:p>
        </w:tc>
        <w:tc>
          <w:tcPr>
            <w:tcW w:w="1772" w:type="dxa"/>
          </w:tcPr>
          <w:p w14:paraId="7B5FCDEA" w14:textId="77777777" w:rsidR="00DF23DD" w:rsidRDefault="00DF23DD">
            <w:r>
              <w:t>26%</w:t>
            </w:r>
          </w:p>
        </w:tc>
      </w:tr>
      <w:tr w:rsidR="00DF23DD" w14:paraId="2887F0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2" w:type="dxa"/>
          </w:tcPr>
          <w:p w14:paraId="2A90A0B5" w14:textId="77777777" w:rsidR="00DF23DD" w:rsidRDefault="00DF23DD">
            <w:r>
              <w:t>Families in Crisis</w:t>
            </w:r>
          </w:p>
        </w:tc>
        <w:tc>
          <w:tcPr>
            <w:tcW w:w="1771" w:type="dxa"/>
          </w:tcPr>
          <w:p w14:paraId="097203F1" w14:textId="77777777" w:rsidR="00DF23DD" w:rsidRDefault="00DF23DD">
            <w:r>
              <w:t xml:space="preserve">  164</w:t>
            </w:r>
          </w:p>
        </w:tc>
        <w:tc>
          <w:tcPr>
            <w:tcW w:w="1771" w:type="dxa"/>
          </w:tcPr>
          <w:p w14:paraId="760DF343" w14:textId="77777777" w:rsidR="00DF23DD" w:rsidRDefault="00DF23DD">
            <w:r>
              <w:t>$   830,000</w:t>
            </w:r>
          </w:p>
        </w:tc>
        <w:tc>
          <w:tcPr>
            <w:tcW w:w="1772" w:type="dxa"/>
          </w:tcPr>
          <w:p w14:paraId="103A52D2" w14:textId="77777777" w:rsidR="00DF23DD" w:rsidRDefault="00DF23DD">
            <w:r>
              <w:t>21%</w:t>
            </w:r>
          </w:p>
        </w:tc>
      </w:tr>
      <w:tr w:rsidR="00DF23DD" w14:paraId="74D029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2" w:type="dxa"/>
          </w:tcPr>
          <w:p w14:paraId="02343A28" w14:textId="77777777" w:rsidR="00DF23DD" w:rsidRDefault="00DF23DD">
            <w:r>
              <w:t>Community Action Fund</w:t>
            </w:r>
          </w:p>
        </w:tc>
        <w:tc>
          <w:tcPr>
            <w:tcW w:w="1771" w:type="dxa"/>
          </w:tcPr>
          <w:p w14:paraId="28A7BEC4" w14:textId="77777777" w:rsidR="00DF23DD" w:rsidRDefault="00DF23DD">
            <w:r>
              <w:t xml:space="preserve">    95</w:t>
            </w:r>
          </w:p>
        </w:tc>
        <w:tc>
          <w:tcPr>
            <w:tcW w:w="1771" w:type="dxa"/>
          </w:tcPr>
          <w:p w14:paraId="464E1B74" w14:textId="77777777" w:rsidR="00DF23DD" w:rsidRDefault="00DF23DD">
            <w:r>
              <w:t>$   550,000</w:t>
            </w:r>
          </w:p>
        </w:tc>
        <w:tc>
          <w:tcPr>
            <w:tcW w:w="1772" w:type="dxa"/>
          </w:tcPr>
          <w:p w14:paraId="3D800F1A" w14:textId="77777777" w:rsidR="00DF23DD" w:rsidRDefault="00DF23DD">
            <w:r>
              <w:t>14%</w:t>
            </w:r>
          </w:p>
        </w:tc>
      </w:tr>
      <w:tr w:rsidR="00DF23DD" w14:paraId="4E62BD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2" w:type="dxa"/>
          </w:tcPr>
          <w:p w14:paraId="70DE3AEF" w14:textId="77777777" w:rsidR="00DF23DD" w:rsidRDefault="00DF23DD">
            <w:r>
              <w:t>Disaster Relief</w:t>
            </w:r>
          </w:p>
        </w:tc>
        <w:tc>
          <w:tcPr>
            <w:tcW w:w="1771" w:type="dxa"/>
          </w:tcPr>
          <w:p w14:paraId="1887C5A8" w14:textId="77777777" w:rsidR="00DF23DD" w:rsidRDefault="00DF23DD">
            <w:r>
              <w:t xml:space="preserve">    16</w:t>
            </w:r>
          </w:p>
        </w:tc>
        <w:tc>
          <w:tcPr>
            <w:tcW w:w="1771" w:type="dxa"/>
          </w:tcPr>
          <w:p w14:paraId="2BB687FD" w14:textId="77777777" w:rsidR="00DF23DD" w:rsidRDefault="00DF23DD">
            <w:r>
              <w:t>$   440,000</w:t>
            </w:r>
          </w:p>
        </w:tc>
        <w:tc>
          <w:tcPr>
            <w:tcW w:w="1772" w:type="dxa"/>
          </w:tcPr>
          <w:p w14:paraId="148BB31B" w14:textId="77777777" w:rsidR="00DF23DD" w:rsidRDefault="00DF23DD">
            <w:r>
              <w:t>11%</w:t>
            </w:r>
          </w:p>
        </w:tc>
      </w:tr>
      <w:tr w:rsidR="00DF23DD" w14:paraId="464D40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2" w:type="dxa"/>
          </w:tcPr>
          <w:p w14:paraId="3CFEFFF8" w14:textId="77777777" w:rsidR="00DF23DD" w:rsidRDefault="00DF23DD">
            <w:r>
              <w:t>Employee Matching Gifts</w:t>
            </w:r>
          </w:p>
        </w:tc>
        <w:tc>
          <w:tcPr>
            <w:tcW w:w="1771" w:type="dxa"/>
          </w:tcPr>
          <w:p w14:paraId="1DAEAA88" w14:textId="77777777" w:rsidR="00DF23DD" w:rsidRDefault="00DF23DD">
            <w:r>
              <w:t>1,423</w:t>
            </w:r>
          </w:p>
        </w:tc>
        <w:tc>
          <w:tcPr>
            <w:tcW w:w="1771" w:type="dxa"/>
          </w:tcPr>
          <w:p w14:paraId="50D0EA4A" w14:textId="77777777" w:rsidR="00DF23DD" w:rsidRDefault="00DF23DD">
            <w:r>
              <w:t>$1,128,000</w:t>
            </w:r>
          </w:p>
        </w:tc>
        <w:tc>
          <w:tcPr>
            <w:tcW w:w="1772" w:type="dxa"/>
          </w:tcPr>
          <w:p w14:paraId="79B8EC46" w14:textId="77777777" w:rsidR="00DF23DD" w:rsidRDefault="00DF23DD">
            <w:r>
              <w:t>28%</w:t>
            </w:r>
          </w:p>
        </w:tc>
      </w:tr>
      <w:tr w:rsidR="00DF23DD" w14:paraId="013D7F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2" w:type="dxa"/>
          </w:tcPr>
          <w:p w14:paraId="1C9D2288" w14:textId="77777777" w:rsidR="00DF23DD" w:rsidRDefault="00DF23DD">
            <w:r>
              <w:t>Totals</w:t>
            </w:r>
          </w:p>
        </w:tc>
        <w:tc>
          <w:tcPr>
            <w:tcW w:w="1771" w:type="dxa"/>
          </w:tcPr>
          <w:p w14:paraId="53428FC6" w14:textId="77777777" w:rsidR="00DF23DD" w:rsidRDefault="00DF23DD">
            <w:r>
              <w:t>1,902</w:t>
            </w:r>
          </w:p>
        </w:tc>
        <w:tc>
          <w:tcPr>
            <w:tcW w:w="1771" w:type="dxa"/>
          </w:tcPr>
          <w:p w14:paraId="3B928D00" w14:textId="77777777" w:rsidR="00DF23DD" w:rsidRDefault="00DF23DD">
            <w:r>
              <w:t>$4,005,000</w:t>
            </w:r>
          </w:p>
        </w:tc>
        <w:tc>
          <w:tcPr>
            <w:tcW w:w="1772" w:type="dxa"/>
          </w:tcPr>
          <w:p w14:paraId="00380C53" w14:textId="77777777" w:rsidR="00DF23DD" w:rsidRDefault="00DF23DD">
            <w:r>
              <w:t>100%</w:t>
            </w:r>
          </w:p>
        </w:tc>
      </w:tr>
    </w:tbl>
    <w:p w14:paraId="2F3F1633" w14:textId="77777777" w:rsidR="00DF23DD" w:rsidRDefault="00DF23DD"/>
    <w:sectPr w:rsidR="00DF2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E8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23458E"/>
    <w:multiLevelType w:val="multilevel"/>
    <w:tmpl w:val="53960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3562C8"/>
    <w:multiLevelType w:val="multilevel"/>
    <w:tmpl w:val="B738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DD"/>
    <w:rsid w:val="000030E1"/>
    <w:rsid w:val="002D2BCD"/>
    <w:rsid w:val="00330763"/>
    <w:rsid w:val="003D347B"/>
    <w:rsid w:val="004F1EAE"/>
    <w:rsid w:val="005559CA"/>
    <w:rsid w:val="00581608"/>
    <w:rsid w:val="00607EED"/>
    <w:rsid w:val="007B4F4B"/>
    <w:rsid w:val="00AD507D"/>
    <w:rsid w:val="00AE3426"/>
    <w:rsid w:val="00B94A5B"/>
    <w:rsid w:val="00CE0EDB"/>
    <w:rsid w:val="00D31C2E"/>
    <w:rsid w:val="00DF23DD"/>
    <w:rsid w:val="00FE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D8E68D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rsid w:val="00AD507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rsid w:val="00AD507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2576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17-7</vt:lpstr>
    </vt:vector>
  </TitlesOfParts>
  <Company>Wiley Publishing, Inc.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17-7</dc:title>
  <dc:subject/>
  <dc:creator>Frances</dc:creator>
  <cp:keywords/>
  <cp:lastModifiedBy>Liz Kuball</cp:lastModifiedBy>
  <cp:revision>3</cp:revision>
  <dcterms:created xsi:type="dcterms:W3CDTF">2016-10-11T20:29:00Z</dcterms:created>
  <dcterms:modified xsi:type="dcterms:W3CDTF">2016-10-11T20:29:00Z</dcterms:modified>
</cp:coreProperties>
</file>